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实验室安全使用教师责任书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为认真贯彻国家和上级部门有关法律法规，切实执行《河北大学实验室安全管理制度》《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河北大学—中央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兰开夏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传媒与创意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学院实验室使用规定》等学校和学院的相关规定，做好实验室安全防范工作，确保实验室使用的安全和高效，保证教学科研等工作的正常进行，特签订本责任书。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本着 “谁主管，谁负责”,“谁使用，谁负责”的原则，各实验室的网格化管理员作为实验室安全的主要责任人，使用实验室的课程负责人作为实验室安全直接责任人。责任人在实验室使用期间全权负责实验室的安全和管理工作，并对实验室的安全负有完全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加强安全防范教育和培训。实验室相关课程任课教师在每次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课前要进行本实验室的安全使用教育，让学生掌握实验室安全使用要求和实验操作规范要点，提升学生"安全第一，预防为主"的防范意识和处置突发情况的能力。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任课教师批准学生使用实验室前，必须对实验的内容进行讲解和现场辅导，确保学生可以安全使用实验室、操作实验设备。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任课教师负责实验室使用期间的卫生管理工作，保持实验室的整洁卫生，实验结束后进行卫生清理，让学生带走私人物品。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任课教师必须对学生使用危险工具进行现场监督管理，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lang w:val="en-US" w:eastAsia="zh-CN" w:bidi="ar-SA"/>
        </w:rPr>
        <w:t>危险工具包括且不限于电锯、电钻、角磨机、打磨机、喷火枪等。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任课教师需对危险工具进行妥善保管。除授课时间外，危险工具应单独存放在专用存储柜。实践操作中所涉及的其它一般工具、材料需分类放在固定的地点,并做文字标明。课程结束后，学生需妥善处理相关工具或材料。垃圾的封装需在固定地点倾倒,剩余材料按类回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任课教师每次下课前需检查门窗、水源、电源、火源等情况，确保安全，避免发生安全事故。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任课教师每次下课后需及时填写《实验室安全、卫生工作记录表》，记录实验室和实验设备使用情况，确保实验室的安全和整洁，发现问题及时向学院上报。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未经学院批准，任何人不得擅自改变实验室的水、电线路、设备摆放布局等。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各实验室安全责任人对实验室设备设施有安全防盗、防止损坏丢失的责任。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十、责任追究∶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left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1.对于未遵守本责任书者，学院有权停止其使用实验室。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ind w:firstLine="480" w:firstLineChars="200"/>
        <w:textAlignment w:val="auto"/>
        <w:rPr>
          <w:rFonts w:hint="default" w:eastAsia="仿宋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具体责任追究范围、责任认定、追责办法，根据国家相关法律法规和《河北大学实验室安全管理办法》《河北大学学生违纪处分规定》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《河北大学实验室安全责任追究办法》等具体执行。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5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实验室责任教师签字：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942C4"/>
    <w:multiLevelType w:val="singleLevel"/>
    <w:tmpl w:val="58C942C4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xZmNhZGI5YjQ5MzQ5NzJiNTQ4Mzg2NmQxN2Q0OWEifQ=="/>
  </w:docVars>
  <w:rsids>
    <w:rsidRoot w:val="0D716A9B"/>
    <w:rsid w:val="00045A4D"/>
    <w:rsid w:val="00065D95"/>
    <w:rsid w:val="00074C77"/>
    <w:rsid w:val="001804A6"/>
    <w:rsid w:val="004208A3"/>
    <w:rsid w:val="0050766F"/>
    <w:rsid w:val="008F22EA"/>
    <w:rsid w:val="0092455C"/>
    <w:rsid w:val="00957B49"/>
    <w:rsid w:val="00AA6FCC"/>
    <w:rsid w:val="00C15A8C"/>
    <w:rsid w:val="00C17528"/>
    <w:rsid w:val="00CD17C1"/>
    <w:rsid w:val="00D7559B"/>
    <w:rsid w:val="00DC67DC"/>
    <w:rsid w:val="00E8579D"/>
    <w:rsid w:val="00E92923"/>
    <w:rsid w:val="00EB4821"/>
    <w:rsid w:val="00F0594C"/>
    <w:rsid w:val="0D716A9B"/>
    <w:rsid w:val="0E2D0C8B"/>
    <w:rsid w:val="2AFA7DCB"/>
    <w:rsid w:val="2E4116A3"/>
    <w:rsid w:val="51ED2FAD"/>
    <w:rsid w:val="52DC6D36"/>
    <w:rsid w:val="62C74285"/>
    <w:rsid w:val="6C222C11"/>
    <w:rsid w:val="7085628D"/>
    <w:rsid w:val="72A0566C"/>
    <w:rsid w:val="74A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927</Words>
  <Characters>929</Characters>
  <Lines>6</Lines>
  <Paragraphs>1</Paragraphs>
  <TotalTime>3</TotalTime>
  <ScaleCrop>false</ScaleCrop>
  <LinksUpToDate>false</LinksUpToDate>
  <CharactersWithSpaces>938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2021-10-27T02:45:00Z</dcterms:created>
  <dc:creator>李易秦leen</dc:creator>
  <cp:lastModifiedBy>hp</cp:lastModifiedBy>
  <dcterms:modified xsi:type="dcterms:W3CDTF">2023-02-27T08:22:42Z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FFDEC4C3BFB14C27AD4C835B752D6E75</vt:lpwstr>
  </property>
</Properties>
</file>